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843335" w:rsidRDefault="00843335">
      <w:pPr>
        <w:rPr>
          <w:rFonts w:ascii="黑体" w:eastAsia="黑体" w:hAnsi="黑体" w:hint="eastAsia"/>
          <w:sz w:val="32"/>
          <w:szCs w:val="32"/>
        </w:rPr>
      </w:pPr>
    </w:p>
    <w:p w:rsidR="00843335" w:rsidRDefault="00843335">
      <w:pPr>
        <w:jc w:val="center"/>
        <w:rPr>
          <w:rFonts w:ascii="方正小标宋_GBK" w:eastAsia="方正小标宋_GBK" w:hAnsi="宋体" w:hint="eastAsia"/>
          <w:sz w:val="44"/>
          <w:szCs w:val="44"/>
        </w:rPr>
      </w:pPr>
    </w:p>
    <w:p w:rsidR="00843335"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木垒哈萨克自治县第三幼儿园</w:t>
      </w:r>
    </w:p>
    <w:p w:rsidR="00843335"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rsidR="00843335"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rsidR="00843335"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rsidR="00843335"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rsidR="00843335"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rsidR="00843335"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rsidR="00843335"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rsidR="00843335"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rsidR="00843335"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rsidR="00843335"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rsidR="00843335"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rsidR="00843335"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rsidR="00843335"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rsidR="00843335"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rsidR="00843335"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rsidR="00843335"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rsidR="00843335"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rsidR="00843335"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rsidR="00843335"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rsidR="00843335"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rsidR="00843335"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rsidR="00843335"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rsidR="00843335"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rsidR="00843335"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rsidR="00843335"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rsidR="00843335"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rsidR="00843335"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rsidR="00843335"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rsidR="00843335"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rsidR="00843335"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rsidR="00843335"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rsidR="00843335"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rsidR="00843335"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rsidR="00843335"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rsidR="00843335" w:rsidRDefault="00000000">
      <w:r>
        <w:rPr>
          <w:rFonts w:ascii="仿宋_GB2312" w:eastAsia="仿宋_GB2312" w:hAnsi="仿宋_GB2312" w:cs="仿宋_GB2312" w:hint="eastAsia"/>
          <w:sz w:val="32"/>
          <w:szCs w:val="32"/>
        </w:rPr>
        <w:fldChar w:fldCharType="end"/>
      </w:r>
    </w:p>
    <w:p w:rsidR="00843335" w:rsidRDefault="00000000">
      <w:pPr>
        <w:rPr>
          <w:rFonts w:ascii="仿宋_GB2312" w:eastAsia="仿宋_GB2312"/>
          <w:sz w:val="32"/>
          <w:szCs w:val="32"/>
        </w:rPr>
      </w:pPr>
      <w:r>
        <w:rPr>
          <w:rFonts w:ascii="仿宋_GB2312" w:eastAsia="仿宋_GB2312" w:hint="eastAsia"/>
          <w:sz w:val="32"/>
          <w:szCs w:val="32"/>
        </w:rPr>
        <w:br w:type="page"/>
      </w:r>
    </w:p>
    <w:p w:rsidR="00843335"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rsidR="00843335"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rsidR="00843335" w:rsidRDefault="00000000">
      <w:pPr>
        <w:ind w:firstLineChars="200" w:firstLine="640"/>
        <w:outlineLvl w:val="1"/>
        <w:rPr>
          <w:rFonts w:ascii="仿宋_GB2312" w:eastAsia="仿宋_GB2312"/>
          <w:sz w:val="32"/>
          <w:szCs w:val="32"/>
        </w:rPr>
      </w:pPr>
      <w:bookmarkStart w:id="4" w:name="_Toc31238"/>
      <w:bookmarkStart w:id="5" w:name="_Toc2151"/>
      <w:r>
        <w:rPr>
          <w:rFonts w:ascii="仿宋_GB2312" w:eastAsia="仿宋_GB2312" w:hint="eastAsia"/>
          <w:sz w:val="32"/>
          <w:szCs w:val="32"/>
        </w:rPr>
        <w:t>幼儿园负责为学龄前儿童提供保育和教育服务。以培养幼儿创新精神和实践动手能力为核心，结合主题活动的开展和区域环境的布置进一步增强幼儿动手操作的兴趣，给每个幼儿提供充分动脑动手的机会，孩子们在参与的过程中，主动的去思考、去实践，感受其中的乐趣。建构健康、平等、和谐的师幼环境，要求教师爱护、尊重、赏识每一个孩子，平等、宽容地对待每一个孩子，站在孩子的立场，积极鼓励孩子，努力使他们成为自信、活泼、健康、快乐的孩子。</w:t>
      </w:r>
    </w:p>
    <w:p w:rsidR="00843335" w:rsidRDefault="00000000">
      <w:pPr>
        <w:ind w:firstLineChars="200" w:firstLine="640"/>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rsidR="00843335"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木垒哈萨克自治县第三幼儿园2023年度，实有人数</w:t>
      </w:r>
      <w:r>
        <w:rPr>
          <w:rFonts w:ascii="仿宋_GB2312" w:eastAsia="仿宋_GB2312" w:hint="eastAsia"/>
          <w:sz w:val="32"/>
          <w:szCs w:val="32"/>
          <w:lang w:val="zh-CN"/>
        </w:rPr>
        <w:t>5</w:t>
      </w:r>
      <w:r>
        <w:rPr>
          <w:rFonts w:ascii="仿宋_GB2312" w:eastAsia="仿宋_GB2312" w:hint="eastAsia"/>
          <w:sz w:val="32"/>
          <w:szCs w:val="32"/>
        </w:rPr>
        <w:t>人，其中：在职人员</w:t>
      </w:r>
      <w:r>
        <w:rPr>
          <w:rFonts w:ascii="仿宋_GB2312" w:eastAsia="仿宋_GB2312" w:hint="eastAsia"/>
          <w:sz w:val="32"/>
          <w:szCs w:val="32"/>
          <w:lang w:val="zh-CN"/>
        </w:rPr>
        <w:t>5</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0</w:t>
      </w:r>
      <w:r>
        <w:rPr>
          <w:rFonts w:ascii="仿宋_GB2312" w:eastAsia="仿宋_GB2312" w:hint="eastAsia"/>
          <w:sz w:val="32"/>
          <w:szCs w:val="32"/>
        </w:rPr>
        <w:t>人。</w:t>
      </w:r>
    </w:p>
    <w:p w:rsidR="00843335" w:rsidRDefault="00000000">
      <w:pPr>
        <w:ind w:firstLineChars="200" w:firstLine="640"/>
        <w:rPr>
          <w:rFonts w:ascii="仿宋_GB2312" w:eastAsia="仿宋_GB2312"/>
          <w:sz w:val="32"/>
          <w:szCs w:val="32"/>
        </w:rPr>
      </w:pPr>
      <w:r>
        <w:rPr>
          <w:rFonts w:ascii="仿宋_GB2312" w:eastAsia="仿宋_GB2312" w:hint="eastAsia"/>
          <w:sz w:val="32"/>
          <w:szCs w:val="32"/>
        </w:rPr>
        <w:t>单位无下属预算单位，下设3个处室，分别是：财务室、教务处、安全总务科</w:t>
      </w:r>
      <w:r>
        <w:rPr>
          <w:rFonts w:ascii="仿宋_GB2312" w:eastAsia="仿宋_GB2312" w:hAnsi="宋体" w:cs="宋体" w:hint="eastAsia"/>
          <w:kern w:val="0"/>
          <w:sz w:val="32"/>
          <w:szCs w:val="32"/>
        </w:rPr>
        <w:t>。</w:t>
      </w:r>
    </w:p>
    <w:p w:rsidR="00843335" w:rsidRDefault="00000000">
      <w:pPr>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t>第二部分 部门决算情况说明</w:t>
      </w:r>
      <w:bookmarkEnd w:id="6"/>
      <w:bookmarkEnd w:id="7"/>
    </w:p>
    <w:p w:rsidR="00843335"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rsidR="00843335"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2023年度收入总计134.36万元，其中：本年收入合计134.36万元，使用非财政拨款结余0.00万元，年初结转和结余0.00万元。</w:t>
      </w:r>
    </w:p>
    <w:p w:rsidR="00843335"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2023年度支出总计134.36万元，其中：本年支出合计134.36万元，结余分配0.00万元，年末结转和结余0.00万</w:t>
      </w:r>
      <w:r>
        <w:rPr>
          <w:rFonts w:ascii="仿宋_GB2312" w:eastAsia="仿宋_GB2312" w:hint="eastAsia"/>
          <w:sz w:val="32"/>
          <w:szCs w:val="32"/>
        </w:rPr>
        <w:lastRenderedPageBreak/>
        <w:t>元。</w:t>
      </w:r>
    </w:p>
    <w:p w:rsidR="00843335"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增加134.36万元</w:t>
      </w:r>
      <w:r>
        <w:rPr>
          <w:rFonts w:ascii="仿宋_GB2312" w:eastAsia="仿宋_GB2312" w:hint="eastAsia"/>
          <w:sz w:val="32"/>
          <w:szCs w:val="32"/>
        </w:rPr>
        <w:t>，增长100.00%，主要原因是：单位本年新增学前教育保障机制经费。</w:t>
      </w:r>
    </w:p>
    <w:p w:rsidR="00843335"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rsidR="00843335"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本年收入134.36万元，其中：财政拨款收入</w:t>
      </w:r>
      <w:r>
        <w:rPr>
          <w:rFonts w:ascii="仿宋_GB2312" w:eastAsia="仿宋_GB2312" w:hint="eastAsia"/>
          <w:sz w:val="32"/>
          <w:szCs w:val="32"/>
          <w:lang w:val="zh-CN"/>
        </w:rPr>
        <w:t>126.46</w:t>
      </w:r>
      <w:r>
        <w:rPr>
          <w:rFonts w:ascii="仿宋_GB2312" w:eastAsia="仿宋_GB2312" w:hint="eastAsia"/>
          <w:sz w:val="32"/>
          <w:szCs w:val="32"/>
        </w:rPr>
        <w:t>万元，占</w:t>
      </w:r>
      <w:r>
        <w:rPr>
          <w:rFonts w:ascii="仿宋_GB2312" w:eastAsia="仿宋_GB2312" w:hint="eastAsia"/>
          <w:sz w:val="32"/>
          <w:szCs w:val="32"/>
          <w:lang w:val="zh-CN"/>
        </w:rPr>
        <w:t>94.12</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7.90</w:t>
      </w:r>
      <w:r>
        <w:rPr>
          <w:rFonts w:ascii="仿宋_GB2312" w:eastAsia="仿宋_GB2312" w:hint="eastAsia"/>
          <w:sz w:val="32"/>
          <w:szCs w:val="32"/>
        </w:rPr>
        <w:t>万元，占</w:t>
      </w:r>
      <w:r>
        <w:rPr>
          <w:rFonts w:ascii="仿宋_GB2312" w:eastAsia="仿宋_GB2312" w:hint="eastAsia"/>
          <w:sz w:val="32"/>
          <w:szCs w:val="32"/>
          <w:lang w:val="zh-CN"/>
        </w:rPr>
        <w:t>5.88</w:t>
      </w:r>
      <w:r>
        <w:rPr>
          <w:rFonts w:ascii="仿宋_GB2312" w:eastAsia="仿宋_GB2312" w:hint="eastAsia"/>
          <w:sz w:val="32"/>
          <w:szCs w:val="32"/>
        </w:rPr>
        <w:t>%。</w:t>
      </w:r>
    </w:p>
    <w:p w:rsidR="00843335"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rsidR="00843335"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本年支出134.36万元，其中：基本支出92.64万元，占68.95%；项目支出41.73万元，占31.05%；上缴上级支出0.00万元，占0.00%；经营支出0.00万元，占0.00%；对附属单位补助支出0.00万元，占0.00%。</w:t>
      </w:r>
    </w:p>
    <w:p w:rsidR="00843335"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rsidR="00843335"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126.46</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126.46</w:t>
      </w:r>
      <w:r>
        <w:rPr>
          <w:rFonts w:ascii="仿宋_GB2312" w:eastAsia="仿宋_GB2312" w:hint="eastAsia"/>
          <w:sz w:val="32"/>
          <w:szCs w:val="32"/>
        </w:rPr>
        <w:t>万元。财政拨款支出总计</w:t>
      </w:r>
      <w:r>
        <w:rPr>
          <w:rFonts w:ascii="仿宋_GB2312" w:eastAsia="仿宋_GB2312" w:hint="eastAsia"/>
          <w:sz w:val="32"/>
          <w:szCs w:val="32"/>
          <w:lang w:val="zh-CN"/>
        </w:rPr>
        <w:t>126.46</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126.46</w:t>
      </w:r>
      <w:r>
        <w:rPr>
          <w:rFonts w:ascii="仿宋_GB2312" w:eastAsia="仿宋_GB2312" w:hint="eastAsia"/>
          <w:sz w:val="32"/>
          <w:szCs w:val="32"/>
        </w:rPr>
        <w:t>万元。</w:t>
      </w:r>
    </w:p>
    <w:p w:rsidR="00843335"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增加126.46万元</w:t>
      </w:r>
      <w:r>
        <w:rPr>
          <w:rFonts w:ascii="仿宋_GB2312" w:eastAsia="仿宋_GB2312" w:hint="eastAsia"/>
          <w:sz w:val="32"/>
          <w:szCs w:val="32"/>
        </w:rPr>
        <w:t>，增长100.00%,主要原因是：单位本年新增学前教育保障机制</w:t>
      </w:r>
      <w:r>
        <w:rPr>
          <w:rFonts w:ascii="仿宋_GB2312" w:eastAsia="仿宋_GB2312" w:hint="eastAsia"/>
          <w:sz w:val="32"/>
          <w:szCs w:val="32"/>
        </w:rPr>
        <w:lastRenderedPageBreak/>
        <w:t>经费。与年初预算相比，年初预算数</w:t>
      </w:r>
      <w:r>
        <w:rPr>
          <w:rFonts w:ascii="仿宋_GB2312" w:eastAsia="仿宋_GB2312" w:hint="eastAsia"/>
          <w:sz w:val="32"/>
          <w:szCs w:val="32"/>
          <w:lang w:val="zh-CN"/>
        </w:rPr>
        <w:t>90.86</w:t>
      </w:r>
      <w:r>
        <w:rPr>
          <w:rFonts w:ascii="仿宋_GB2312" w:eastAsia="仿宋_GB2312" w:hint="eastAsia"/>
          <w:sz w:val="32"/>
          <w:szCs w:val="32"/>
        </w:rPr>
        <w:t>万元，决算数</w:t>
      </w:r>
      <w:r>
        <w:rPr>
          <w:rFonts w:ascii="仿宋_GB2312" w:eastAsia="仿宋_GB2312" w:hint="eastAsia"/>
          <w:sz w:val="32"/>
          <w:szCs w:val="32"/>
          <w:lang w:val="zh-CN"/>
        </w:rPr>
        <w:t>126.46</w:t>
      </w:r>
      <w:r>
        <w:rPr>
          <w:rFonts w:ascii="仿宋_GB2312" w:eastAsia="仿宋_GB2312" w:hint="eastAsia"/>
          <w:sz w:val="32"/>
          <w:szCs w:val="32"/>
        </w:rPr>
        <w:t>万元，预决算差异率39.18%，主要原因是：年中追加人员工资、社保、津补贴等人员经费。</w:t>
      </w:r>
    </w:p>
    <w:p w:rsidR="00843335"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rsidR="00843335"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rsidR="00843335"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2023年度一般公共预算财政拨款支出126.46万元，占本年支出合计的</w:t>
      </w:r>
      <w:r>
        <w:rPr>
          <w:rFonts w:ascii="仿宋_GB2312" w:eastAsia="仿宋_GB2312" w:hint="eastAsia"/>
          <w:sz w:val="32"/>
          <w:szCs w:val="32"/>
          <w:lang w:val="zh-CN"/>
        </w:rPr>
        <w:t>94.12%</w:t>
      </w:r>
      <w:r>
        <w:rPr>
          <w:rFonts w:ascii="仿宋_GB2312" w:eastAsia="仿宋_GB2312" w:hint="eastAsia"/>
          <w:sz w:val="32"/>
          <w:szCs w:val="32"/>
        </w:rPr>
        <w:t>。与上年相比，</w:t>
      </w:r>
      <w:r>
        <w:rPr>
          <w:rFonts w:ascii="仿宋_GB2312" w:eastAsia="仿宋_GB2312" w:hint="eastAsia"/>
          <w:sz w:val="32"/>
          <w:szCs w:val="32"/>
          <w:lang w:val="zh-CN"/>
        </w:rPr>
        <w:t>增加126.46万元</w:t>
      </w:r>
      <w:r>
        <w:rPr>
          <w:rFonts w:ascii="仿宋_GB2312" w:eastAsia="仿宋_GB2312" w:hint="eastAsia"/>
          <w:sz w:val="32"/>
          <w:szCs w:val="32"/>
        </w:rPr>
        <w:t>，增长100.00%,主要原因是：单位本年新增学前教育保障机制经费。与年初预算相比，年初预算数</w:t>
      </w:r>
      <w:r>
        <w:rPr>
          <w:rFonts w:ascii="仿宋_GB2312" w:eastAsia="仿宋_GB2312" w:hint="eastAsia"/>
          <w:sz w:val="32"/>
          <w:szCs w:val="32"/>
          <w:lang w:val="zh-CN"/>
        </w:rPr>
        <w:t>90.86</w:t>
      </w:r>
      <w:r>
        <w:rPr>
          <w:rFonts w:ascii="仿宋_GB2312" w:eastAsia="仿宋_GB2312" w:hint="eastAsia"/>
          <w:sz w:val="32"/>
          <w:szCs w:val="32"/>
        </w:rPr>
        <w:t>万元，决算数</w:t>
      </w:r>
      <w:r>
        <w:rPr>
          <w:rFonts w:ascii="仿宋_GB2312" w:eastAsia="仿宋_GB2312" w:hint="eastAsia"/>
          <w:sz w:val="32"/>
          <w:szCs w:val="32"/>
          <w:lang w:val="zh-CN"/>
        </w:rPr>
        <w:t>126.46</w:t>
      </w:r>
      <w:r>
        <w:rPr>
          <w:rFonts w:ascii="仿宋_GB2312" w:eastAsia="仿宋_GB2312" w:hint="eastAsia"/>
          <w:sz w:val="32"/>
          <w:szCs w:val="32"/>
        </w:rPr>
        <w:t>万元，预决算差异率</w:t>
      </w:r>
      <w:r>
        <w:rPr>
          <w:rFonts w:ascii="仿宋_GB2312" w:eastAsia="仿宋_GB2312" w:hint="eastAsia"/>
          <w:sz w:val="32"/>
          <w:szCs w:val="32"/>
          <w:lang w:val="zh-CN"/>
        </w:rPr>
        <w:t>39.18%</w:t>
      </w:r>
      <w:r>
        <w:rPr>
          <w:rFonts w:ascii="仿宋_GB2312" w:eastAsia="仿宋_GB2312" w:hint="eastAsia"/>
          <w:sz w:val="32"/>
          <w:szCs w:val="32"/>
        </w:rPr>
        <w:t>，主要原因是：年中追加人员工资、社保、津补贴等人员经费。</w:t>
      </w:r>
    </w:p>
    <w:p w:rsidR="00843335"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rsidR="00843335"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1</w:t>
      </w:r>
      <w:r>
        <w:rPr>
          <w:rFonts w:ascii="仿宋_GB2312" w:eastAsia="仿宋_GB2312"/>
          <w:sz w:val="32"/>
          <w:szCs w:val="32"/>
          <w:lang w:val="zh-CN"/>
        </w:rPr>
        <w:t>.教育支出（类）</w:t>
      </w:r>
      <w:r>
        <w:rPr>
          <w:rFonts w:ascii="仿宋_GB2312" w:eastAsia="仿宋_GB2312" w:hint="eastAsia"/>
          <w:sz w:val="32"/>
          <w:szCs w:val="32"/>
          <w:lang w:val="zh-CN"/>
        </w:rPr>
        <w:t>126.46</w:t>
      </w:r>
      <w:r>
        <w:rPr>
          <w:rFonts w:ascii="仿宋_GB2312" w:eastAsia="仿宋_GB2312"/>
          <w:sz w:val="32"/>
          <w:szCs w:val="32"/>
          <w:lang w:val="zh-CN"/>
        </w:rPr>
        <w:t>万元，占</w:t>
      </w:r>
      <w:r>
        <w:rPr>
          <w:rFonts w:ascii="仿宋_GB2312" w:eastAsia="仿宋_GB2312" w:hint="eastAsia"/>
          <w:sz w:val="32"/>
          <w:szCs w:val="32"/>
          <w:lang w:val="zh-CN"/>
        </w:rPr>
        <w:t>100.00</w:t>
      </w:r>
      <w:r>
        <w:rPr>
          <w:rFonts w:ascii="仿宋_GB2312" w:eastAsia="仿宋_GB2312"/>
          <w:sz w:val="32"/>
          <w:szCs w:val="32"/>
          <w:lang w:val="zh-CN"/>
        </w:rPr>
        <w:t>%</w:t>
      </w:r>
      <w:r>
        <w:rPr>
          <w:rFonts w:ascii="仿宋_GB2312" w:eastAsia="仿宋_GB2312" w:hint="eastAsia"/>
          <w:sz w:val="32"/>
          <w:szCs w:val="32"/>
          <w:lang w:val="zh-CN"/>
        </w:rPr>
        <w:t>。</w:t>
      </w:r>
    </w:p>
    <w:p w:rsidR="00843335"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rsidR="00843335"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1.教育支出（类）普通教育（款）学前教育（项）:支出决算数为126.46万元，比上年决算增加126.46万元，增长100%，主要原因是：</w:t>
      </w:r>
      <w:r>
        <w:rPr>
          <w:rFonts w:ascii="仿宋_GB2312" w:eastAsia="仿宋_GB2312" w:hint="eastAsia"/>
          <w:sz w:val="32"/>
          <w:szCs w:val="32"/>
          <w:lang w:val="zh-CN"/>
        </w:rPr>
        <w:t>单位本年新增学前教育保障机制经费。</w:t>
      </w:r>
    </w:p>
    <w:p w:rsidR="00843335"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rsidR="00843335"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84.74万元，其中：人员经费78.64万元，包括：基本工资、津贴补贴、奖金、机关事业单位基本养老保险缴费、职工基本医疗保险缴费、其他社会保障缴费、住房公积金、奖励金。</w:t>
      </w:r>
    </w:p>
    <w:p w:rsidR="00843335"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公用经费6.10万元，包括：水费、电费、取暖费。</w:t>
      </w:r>
    </w:p>
    <w:p w:rsidR="00843335"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rsidR="00843335"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Pr>
          <w:rFonts w:ascii="仿宋_GB2312" w:eastAsia="仿宋_GB2312" w:hint="eastAsia"/>
          <w:sz w:val="32"/>
          <w:szCs w:val="32"/>
        </w:rPr>
        <w:t>单位本年无此项支出</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主要原因是：单位本年无此项支出；公务用车购置及运行维护费支出0.00万元，占0.00%，比上年增加0.00万元，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主要原因是：单位本年无此项支出；公务接待费支出0.00万元，占0.00%，比上年增加0.00万元，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主要原因是：单位本年无此项支出。</w:t>
      </w:r>
    </w:p>
    <w:p w:rsidR="00843335"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rsidR="00843335"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因公出国（境）费支出0.00万元，开支内容包括单位本年无此项支出。单位全年安排的因公出国（境）团组0个，因公出国（境）0人次。</w:t>
      </w:r>
    </w:p>
    <w:p w:rsidR="00843335"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用车运行维护费开支内容包括单位本年无此项支出。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0辆，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原因是：单位本年无此项支出。</w:t>
      </w:r>
    </w:p>
    <w:p w:rsidR="00843335"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公务接待费0.00万元，开支内容包括单位本年无此项</w:t>
      </w:r>
      <w:r>
        <w:rPr>
          <w:rFonts w:ascii="仿宋_GB2312" w:eastAsia="仿宋_GB2312" w:hint="eastAsia"/>
          <w:sz w:val="32"/>
          <w:szCs w:val="32"/>
          <w:lang w:val="zh-CN"/>
        </w:rPr>
        <w:lastRenderedPageBreak/>
        <w:t>支出。单位全年安排的国内公务接待0批次，0人次。</w:t>
      </w:r>
    </w:p>
    <w:p w:rsidR="00843335"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预算数0.00万元，决算数0.00万元，预决算差异率0.00%，主要原因是：单位本年无此项支出。其中：因公出国（境）费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0.00万元，决算数0.00万元，预决算差异率0.00%，主要原因是：单位本年无此项支出；公务用车购置费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预算数0.00万元，决算数0.00万元，预决算差异率0.00%，主要原因是：单位本年无此项支出；公务用车运行费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预算数0.00万元，决算数0.00万元，预决算差异率0.00%，主要原因是：单位本年无此项支出；公务接待费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预算数0.00万元，决算数0.00万元，预决算差异率0.00%，主要原因是：单位本年无此项支出。</w:t>
      </w:r>
    </w:p>
    <w:p w:rsidR="00843335"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rsidR="00843335"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rsidR="00843335" w:rsidRDefault="00000000">
      <w:pPr>
        <w:ind w:firstLineChars="200" w:firstLine="640"/>
        <w:jc w:val="left"/>
        <w:outlineLvl w:val="1"/>
        <w:rPr>
          <w:rFonts w:ascii="仿宋_GB2312" w:eastAsia="仿宋_GB2312"/>
          <w:sz w:val="32"/>
          <w:szCs w:val="32"/>
        </w:rPr>
      </w:pPr>
      <w:r>
        <w:rPr>
          <w:rFonts w:ascii="黑体" w:eastAsia="黑体" w:hAnsi="黑体" w:cs="宋体" w:hint="eastAsia"/>
          <w:bCs/>
          <w:kern w:val="0"/>
          <w:sz w:val="32"/>
          <w:szCs w:val="32"/>
        </w:rPr>
        <w:t>九、国有资本经营预算财政拨款收入支出决算情况说明</w:t>
      </w:r>
    </w:p>
    <w:p w:rsidR="00843335"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rsidR="00843335" w:rsidRDefault="00000000">
      <w:pPr>
        <w:ind w:firstLineChars="200" w:firstLine="640"/>
        <w:jc w:val="left"/>
        <w:outlineLvl w:val="1"/>
        <w:rPr>
          <w:rFonts w:ascii="黑体" w:eastAsia="黑体" w:hAnsi="黑体" w:cs="宋体" w:hint="eastAsia"/>
          <w:bCs/>
          <w:kern w:val="0"/>
          <w:sz w:val="32"/>
          <w:szCs w:val="32"/>
        </w:rPr>
      </w:pPr>
      <w:bookmarkStart w:id="20" w:name="_Toc1235"/>
      <w:bookmarkStart w:id="21" w:name="_Toc7314"/>
      <w:r>
        <w:rPr>
          <w:rFonts w:ascii="黑体" w:eastAsia="黑体" w:hAnsi="黑体" w:cs="宋体" w:hint="eastAsia"/>
          <w:bCs/>
          <w:kern w:val="0"/>
          <w:sz w:val="32"/>
          <w:szCs w:val="32"/>
        </w:rPr>
        <w:t>十、其他重要事项的情况说明</w:t>
      </w:r>
      <w:bookmarkEnd w:id="20"/>
      <w:bookmarkEnd w:id="21"/>
    </w:p>
    <w:p w:rsidR="00843335" w:rsidRDefault="00000000">
      <w:pPr>
        <w:ind w:firstLineChars="200" w:firstLine="640"/>
        <w:jc w:val="left"/>
        <w:outlineLvl w:val="2"/>
        <w:rPr>
          <w:rFonts w:ascii="黑体" w:eastAsia="黑体" w:hAnsi="黑体" w:hint="eastAsia"/>
          <w:sz w:val="32"/>
          <w:szCs w:val="32"/>
        </w:rPr>
      </w:pPr>
      <w:bookmarkStart w:id="22" w:name="_Toc14519"/>
      <w:bookmarkStart w:id="23" w:name="_Toc13105"/>
      <w:r>
        <w:rPr>
          <w:rFonts w:ascii="黑体" w:eastAsia="黑体" w:hAnsi="黑体" w:hint="eastAsia"/>
          <w:sz w:val="32"/>
          <w:szCs w:val="32"/>
        </w:rPr>
        <w:t>（一）机关运行经费支出情况</w:t>
      </w:r>
      <w:bookmarkEnd w:id="22"/>
      <w:bookmarkEnd w:id="23"/>
    </w:p>
    <w:p w:rsidR="00843335" w:rsidRDefault="00000000">
      <w:pPr>
        <w:ind w:firstLineChars="200" w:firstLine="640"/>
        <w:jc w:val="left"/>
        <w:rPr>
          <w:rFonts w:ascii="仿宋_GB2312" w:eastAsia="仿宋_GB2312"/>
          <w:sz w:val="32"/>
          <w:szCs w:val="32"/>
          <w:lang w:val="zh-CN"/>
        </w:rPr>
      </w:pPr>
      <w:bookmarkStart w:id="24" w:name="_Toc26704"/>
      <w:bookmarkStart w:id="25" w:name="_Toc227"/>
      <w:r>
        <w:rPr>
          <w:rFonts w:ascii="仿宋_GB2312" w:eastAsia="仿宋_GB2312" w:hint="eastAsia"/>
          <w:sz w:val="32"/>
          <w:szCs w:val="32"/>
          <w:lang w:val="zh-CN"/>
        </w:rPr>
        <w:lastRenderedPageBreak/>
        <w:t>2023年度</w:t>
      </w:r>
      <w:r>
        <w:rPr>
          <w:rFonts w:ascii="仿宋_GB2312" w:eastAsia="仿宋_GB2312" w:hint="eastAsia"/>
          <w:sz w:val="32"/>
          <w:szCs w:val="32"/>
        </w:rPr>
        <w:t>木垒哈萨克自治县第三幼儿园</w:t>
      </w:r>
      <w:r>
        <w:rPr>
          <w:rFonts w:ascii="仿宋_GB2312" w:eastAsia="仿宋_GB2312" w:hint="eastAsia"/>
          <w:sz w:val="32"/>
          <w:szCs w:val="32"/>
          <w:lang w:val="zh-CN"/>
        </w:rPr>
        <w:t>（事业单位）公用经费支出6.10万元，比上年增加6.10万元，增长</w:t>
      </w:r>
      <w:r>
        <w:rPr>
          <w:rFonts w:ascii="仿宋_GB2312" w:eastAsia="仿宋_GB2312" w:hint="eastAsia"/>
          <w:sz w:val="32"/>
          <w:szCs w:val="32"/>
        </w:rPr>
        <w:t>100</w:t>
      </w:r>
      <w:r>
        <w:rPr>
          <w:rFonts w:ascii="仿宋_GB2312" w:eastAsia="仿宋_GB2312" w:hint="eastAsia"/>
          <w:sz w:val="32"/>
          <w:szCs w:val="32"/>
          <w:lang w:val="zh-CN"/>
        </w:rPr>
        <w:t>.00%，主要原因是：</w:t>
      </w:r>
      <w:r>
        <w:rPr>
          <w:rFonts w:ascii="仿宋_GB2312" w:eastAsia="仿宋_GB2312" w:hint="eastAsia"/>
          <w:sz w:val="32"/>
          <w:szCs w:val="32"/>
        </w:rPr>
        <w:t>单位本年增加取暖费和物业管理费</w:t>
      </w:r>
      <w:r>
        <w:rPr>
          <w:rFonts w:ascii="仿宋_GB2312" w:eastAsia="仿宋_GB2312" w:hint="eastAsia"/>
          <w:sz w:val="32"/>
          <w:szCs w:val="32"/>
          <w:lang w:val="zh-CN"/>
        </w:rPr>
        <w:t>。</w:t>
      </w:r>
    </w:p>
    <w:p w:rsidR="00843335"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rsidR="00843335"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2023年度政府采购支出总额8.74万元，其中：政府采购货物支出8.74万元、政府采购工程支出0.00万元、政府采购服务支出0.00万元。</w:t>
      </w:r>
    </w:p>
    <w:p w:rsidR="00843335"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授予中小企业合同金额8.74万元，占政府采购支出总额的100.00</w:t>
      </w:r>
      <w:r>
        <w:rPr>
          <w:rFonts w:ascii="仿宋_GB2312" w:eastAsia="仿宋_GB2312"/>
          <w:sz w:val="32"/>
          <w:szCs w:val="32"/>
          <w:lang w:val="zh-CN"/>
        </w:rPr>
        <w:t>%</w:t>
      </w:r>
      <w:r>
        <w:rPr>
          <w:rFonts w:ascii="仿宋_GB2312" w:eastAsia="仿宋_GB2312" w:hint="eastAsia"/>
          <w:sz w:val="32"/>
          <w:szCs w:val="32"/>
          <w:lang w:val="zh-CN"/>
        </w:rPr>
        <w:t>，其中：授予小</w:t>
      </w:r>
      <w:proofErr w:type="gramStart"/>
      <w:r>
        <w:rPr>
          <w:rFonts w:ascii="仿宋_GB2312" w:eastAsia="仿宋_GB2312" w:hint="eastAsia"/>
          <w:sz w:val="32"/>
          <w:szCs w:val="32"/>
          <w:lang w:val="zh-CN"/>
        </w:rPr>
        <w:t>微企业</w:t>
      </w:r>
      <w:proofErr w:type="gramEnd"/>
      <w:r>
        <w:rPr>
          <w:rFonts w:ascii="仿宋_GB2312" w:eastAsia="仿宋_GB2312" w:hint="eastAsia"/>
          <w:sz w:val="32"/>
          <w:szCs w:val="32"/>
          <w:lang w:val="zh-CN"/>
        </w:rPr>
        <w:t>合同金额8.74万元，占政府采购支出总额的100.00</w:t>
      </w:r>
      <w:r>
        <w:rPr>
          <w:rFonts w:ascii="仿宋_GB2312" w:eastAsia="仿宋_GB2312"/>
          <w:sz w:val="32"/>
          <w:szCs w:val="32"/>
          <w:lang w:val="zh-CN"/>
        </w:rPr>
        <w:t>%</w:t>
      </w:r>
      <w:r>
        <w:rPr>
          <w:rFonts w:ascii="仿宋_GB2312" w:eastAsia="仿宋_GB2312" w:hint="eastAsia"/>
          <w:sz w:val="32"/>
          <w:szCs w:val="32"/>
        </w:rPr>
        <w:t>。</w:t>
      </w:r>
    </w:p>
    <w:p w:rsidR="00843335" w:rsidRDefault="00000000">
      <w:pPr>
        <w:ind w:firstLineChars="200" w:firstLine="640"/>
        <w:jc w:val="left"/>
        <w:rPr>
          <w:rFonts w:eastAsia="黑体"/>
          <w:sz w:val="32"/>
          <w:szCs w:val="30"/>
          <w:lang w:val="zh-CN"/>
        </w:rPr>
      </w:pPr>
      <w:bookmarkStart w:id="26" w:name="_Toc4591"/>
      <w:bookmarkStart w:id="27" w:name="_Toc8391"/>
      <w:r>
        <w:rPr>
          <w:rFonts w:eastAsia="黑体" w:hint="eastAsia"/>
          <w:sz w:val="32"/>
          <w:szCs w:val="30"/>
          <w:lang w:val="zh-CN"/>
        </w:rPr>
        <w:t>（三）国有资产占用情况说明</w:t>
      </w:r>
      <w:bookmarkEnd w:id="26"/>
      <w:bookmarkEnd w:id="27"/>
    </w:p>
    <w:p w:rsidR="00843335"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截至2023</w:t>
      </w:r>
      <w:r>
        <w:rPr>
          <w:rFonts w:ascii="仿宋_GB2312" w:eastAsia="仿宋_GB2312" w:hint="eastAsia"/>
          <w:sz w:val="32"/>
          <w:szCs w:val="32"/>
          <w:lang w:val="zh-CN"/>
        </w:rPr>
        <w:t>年</w:t>
      </w:r>
      <w:r>
        <w:rPr>
          <w:rFonts w:ascii="仿宋_GB2312" w:eastAsia="仿宋_GB2312" w:hint="eastAsia"/>
          <w:sz w:val="32"/>
          <w:szCs w:val="32"/>
        </w:rPr>
        <w:t>12月31日</w:t>
      </w:r>
      <w:r>
        <w:rPr>
          <w:rFonts w:ascii="仿宋_GB2312" w:eastAsia="仿宋_GB2312" w:hint="eastAsia"/>
          <w:sz w:val="32"/>
          <w:szCs w:val="32"/>
          <w:lang w:val="zh-CN"/>
        </w:rPr>
        <w:t>，</w:t>
      </w:r>
      <w:r>
        <w:rPr>
          <w:rFonts w:ascii="仿宋_GB2312" w:eastAsia="仿宋_GB2312" w:hint="eastAsia"/>
          <w:sz w:val="32"/>
          <w:szCs w:val="32"/>
        </w:rPr>
        <w:t>固定资产原值</w:t>
      </w:r>
      <w:r>
        <w:rPr>
          <w:rFonts w:ascii="仿宋_GB2312" w:eastAsia="仿宋_GB2312" w:hint="eastAsia"/>
          <w:sz w:val="32"/>
          <w:szCs w:val="32"/>
          <w:lang w:val="zh-CN"/>
        </w:rPr>
        <w:t>74.67</w:t>
      </w:r>
      <w:r>
        <w:rPr>
          <w:rFonts w:ascii="仿宋_GB2312" w:eastAsia="仿宋_GB2312" w:hint="eastAsia"/>
          <w:sz w:val="32"/>
          <w:szCs w:val="32"/>
        </w:rPr>
        <w:t>万元，房</w:t>
      </w:r>
      <w:r>
        <w:rPr>
          <w:rFonts w:ascii="仿宋_GB2312" w:eastAsia="仿宋_GB2312" w:hint="eastAsia"/>
          <w:sz w:val="32"/>
          <w:szCs w:val="32"/>
          <w:lang w:val="zh-CN"/>
        </w:rPr>
        <w:t>屋0.0</w:t>
      </w:r>
      <w:r>
        <w:rPr>
          <w:rFonts w:ascii="仿宋_GB2312" w:eastAsia="仿宋_GB2312" w:hint="eastAsia"/>
          <w:sz w:val="32"/>
          <w:szCs w:val="32"/>
        </w:rPr>
        <w:t>0</w:t>
      </w:r>
      <w:r>
        <w:rPr>
          <w:rFonts w:ascii="仿宋_GB2312" w:eastAsia="仿宋_GB2312" w:hint="eastAsia"/>
          <w:sz w:val="32"/>
          <w:szCs w:val="32"/>
          <w:lang w:val="zh-CN"/>
        </w:rPr>
        <w:t>平方米，价值0.00万元。车辆0辆，价值0.00万元，其中：副部（省）级及以上领导用车0辆、主要</w:t>
      </w:r>
      <w:r>
        <w:rPr>
          <w:rFonts w:ascii="仿宋_GB2312" w:eastAsia="仿宋_GB2312" w:hint="eastAsia"/>
          <w:sz w:val="32"/>
          <w:szCs w:val="32"/>
        </w:rPr>
        <w:t>负责人</w:t>
      </w:r>
      <w:r>
        <w:rPr>
          <w:rFonts w:ascii="仿宋_GB2312" w:eastAsia="仿宋_GB2312" w:hint="eastAsia"/>
          <w:sz w:val="32"/>
          <w:szCs w:val="32"/>
          <w:lang w:val="zh-CN"/>
        </w:rPr>
        <w:t>用车0辆、机要通信用车0辆、应急保障用车0辆、执法执勤用车0辆、特种专业技术用车0辆、离退休干部</w:t>
      </w:r>
      <w:r>
        <w:rPr>
          <w:rFonts w:ascii="仿宋_GB2312" w:eastAsia="仿宋_GB2312" w:hint="eastAsia"/>
          <w:sz w:val="32"/>
          <w:szCs w:val="32"/>
        </w:rPr>
        <w:t>服务</w:t>
      </w:r>
      <w:r>
        <w:rPr>
          <w:rFonts w:ascii="仿宋_GB2312" w:eastAsia="仿宋_GB2312" w:hint="eastAsia"/>
          <w:sz w:val="32"/>
          <w:szCs w:val="32"/>
          <w:lang w:val="zh-CN"/>
        </w:rPr>
        <w:t>用车0辆、其他用车0辆，其他用车主要是：</w:t>
      </w:r>
      <w:r>
        <w:rPr>
          <w:rFonts w:ascii="仿宋_GB2312" w:eastAsia="仿宋_GB2312" w:hint="eastAsia"/>
          <w:sz w:val="32"/>
          <w:szCs w:val="32"/>
        </w:rPr>
        <w:t>单位无其他用车</w:t>
      </w:r>
      <w:r>
        <w:rPr>
          <w:rFonts w:ascii="仿宋_GB2312" w:eastAsia="仿宋_GB2312" w:hint="eastAsia"/>
          <w:sz w:val="32"/>
          <w:szCs w:val="32"/>
          <w:lang w:val="zh-CN"/>
        </w:rPr>
        <w:t>；单价100万元（含）以上设备（不含车辆）0</w:t>
      </w:r>
      <w:r>
        <w:rPr>
          <w:rFonts w:ascii="仿宋_GB2312" w:eastAsia="仿宋_GB2312" w:hint="eastAsia"/>
          <w:sz w:val="32"/>
          <w:szCs w:val="32"/>
        </w:rPr>
        <w:t>台（</w:t>
      </w:r>
      <w:r>
        <w:rPr>
          <w:rFonts w:ascii="仿宋_GB2312" w:eastAsia="仿宋_GB2312" w:hint="eastAsia"/>
          <w:sz w:val="32"/>
          <w:szCs w:val="32"/>
          <w:lang w:val="zh-CN"/>
        </w:rPr>
        <w:t>套）。</w:t>
      </w:r>
    </w:p>
    <w:p w:rsidR="00843335"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rsidR="00843335"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预算总额134.36万元，实际执行总额134.36万元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预算绩效评价项目0个，全年</w:t>
      </w:r>
      <w:r>
        <w:rPr>
          <w:rFonts w:ascii="仿宋_GB2312" w:eastAsia="仿宋_GB2312" w:hint="eastAsia"/>
          <w:sz w:val="32"/>
          <w:szCs w:val="32"/>
        </w:rPr>
        <w:lastRenderedPageBreak/>
        <w:t>预算数0.00万元，全年执行数0.00万元。预算绩效管理取得的成效：一是2023年度我单位努力做好财政预算收入、支出以及各项目的管理工作，将预算及时公开到相关的信息网络平台，并在执行过程中积极对执行情况进行监控，对预算的资金进行全方位的监督和管理，使每一笔资金都能起到最大的使用效益；二是结合我校实际情合理分配资金，以达到合理高效地运用资金、提升资金的产出效果、节约成本与资源、提高部门的办事效率的目的。在部门预算整体支出绩效方面都按规定严格执行，合理安排支出，使财政资金发挥出最大的效益。发现的问题及原因：一是绩效监控管理理念有待进一步增强。绩效监控政策宣传不到位。绩效监控作为新生事物，单位部门认识不到位，绩效管理专业人员匮乏，对绩效监控重视力度不够。预算单位把大量精力花在跑资金、争项目上，认为只要资金使用合法合</w:t>
      </w:r>
      <w:proofErr w:type="gramStart"/>
      <w:r>
        <w:rPr>
          <w:rFonts w:ascii="仿宋_GB2312" w:eastAsia="仿宋_GB2312" w:hint="eastAsia"/>
          <w:sz w:val="32"/>
          <w:szCs w:val="32"/>
        </w:rPr>
        <w:t>规</w:t>
      </w:r>
      <w:proofErr w:type="gramEnd"/>
      <w:r>
        <w:rPr>
          <w:rFonts w:ascii="仿宋_GB2312" w:eastAsia="仿宋_GB2312" w:hint="eastAsia"/>
          <w:sz w:val="32"/>
          <w:szCs w:val="32"/>
        </w:rPr>
        <w:t>就行，忽视财政资金的使用监控。有的部门对预算绩效监控工作重视不够，缺乏主动性，应付的成分多于对管理问题的反思，没有将绩效管理工作作为一项日常性重要工作来抓；二是机构设置和队伍建设需要进一步推进。我单位没有设置专门的预算绩效管理部门，只是由财务科负责，人员数量较少，专业能力较弱，现有工作人员的业务水平还不能满足绩效管理工作要求，业务素质急需提高。下一步改进措施：一是细化预算编制工作，认真做好预算的编制。进一步加强单位内部机构各</w:t>
      </w:r>
      <w:r>
        <w:rPr>
          <w:rFonts w:ascii="仿宋_GB2312" w:eastAsia="仿宋_GB2312" w:hint="eastAsia"/>
          <w:sz w:val="32"/>
          <w:szCs w:val="32"/>
        </w:rPr>
        <w:lastRenderedPageBreak/>
        <w:t>科室的预算管理意识，严格按照预算编制的相关制度和要求进行预算编制，提高预算编制的科学性、严谨性和可控性。加强内部预算编制的审核和预算控制指标的下达；二是加强财务管理，严格财务审核。加强单位财务管理，健全单位财务管理制度体系，规范单位财务行为。在费用报账支付时，按照预算规定的费用项目和用途进行资金使用审核、列报支付、财务核算，杜绝超支现象的发生。具体项目自评情况附绩效自评表及自评报告。具体项目自评情况附绩效自评表及自评报告。</w:t>
      </w:r>
    </w:p>
    <w:tbl>
      <w:tblPr>
        <w:tblW w:w="1250" w:type="pct"/>
        <w:jc w:val="center"/>
        <w:tblLook w:val="04A0" w:firstRow="1" w:lastRow="0" w:firstColumn="1" w:lastColumn="0" w:noHBand="0" w:noVBand="1"/>
      </w:tblPr>
      <w:tblGrid>
        <w:gridCol w:w="1554"/>
        <w:gridCol w:w="1197"/>
        <w:gridCol w:w="1171"/>
        <w:gridCol w:w="968"/>
        <w:gridCol w:w="1001"/>
        <w:gridCol w:w="793"/>
        <w:gridCol w:w="916"/>
        <w:gridCol w:w="922"/>
      </w:tblGrid>
      <w:tr w:rsidR="00843335">
        <w:trPr>
          <w:trHeight w:val="522"/>
          <w:jc w:val="center"/>
        </w:trPr>
        <w:tc>
          <w:tcPr>
            <w:tcW w:w="14194"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部门（单位）整体支出绩效目标自评表</w:t>
            </w:r>
          </w:p>
        </w:tc>
      </w:tr>
      <w:tr w:rsidR="00843335">
        <w:trPr>
          <w:trHeight w:val="360"/>
          <w:jc w:val="center"/>
        </w:trPr>
        <w:tc>
          <w:tcPr>
            <w:tcW w:w="0" w:type="auto"/>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843335">
        <w:trPr>
          <w:trHeight w:val="66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部门（单位）名称</w:t>
            </w:r>
          </w:p>
        </w:tc>
        <w:tc>
          <w:tcPr>
            <w:tcW w:w="0" w:type="auto"/>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木垒哈萨克自治县第三幼儿园</w:t>
            </w:r>
          </w:p>
        </w:tc>
      </w:tr>
      <w:tr w:rsidR="00843335">
        <w:trPr>
          <w:trHeight w:val="570"/>
          <w:jc w:val="center"/>
        </w:trPr>
        <w:tc>
          <w:tcPr>
            <w:tcW w:w="26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部门资金（万元）</w:t>
            </w: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资金来源</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843335">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843335">
            <w:pPr>
              <w:jc w:val="center"/>
              <w:rPr>
                <w:rFonts w:ascii="宋体" w:hAnsi="宋体" w:cs="宋体" w:hint="eastAsia"/>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中央安排</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27.36</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27.36</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843335">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843335">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自治区安排</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90.86</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14.37</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14.37</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843335">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843335">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地（州、市）安排</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843335">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843335">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县（市、区）安排</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84.73</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84.73</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843335">
            <w:pPr>
              <w:widowControl/>
              <w:jc w:val="center"/>
              <w:textAlignment w:val="center"/>
              <w:rPr>
                <w:rFonts w:ascii="宋体" w:hAnsi="宋体" w:cs="宋体" w:hint="eastAsia"/>
                <w:color w:val="000000"/>
                <w:kern w:val="0"/>
                <w:sz w:val="20"/>
                <w:szCs w:val="20"/>
                <w:lang w:bidi="ar"/>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843335">
            <w:pPr>
              <w:jc w:val="center"/>
              <w:rPr>
                <w:rFonts w:ascii="宋体" w:hAnsi="宋体" w:cs="宋体" w:hint="eastAsia"/>
                <w:color w:val="000000"/>
                <w:sz w:val="20"/>
                <w:szCs w:val="20"/>
              </w:rPr>
            </w:pP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843335">
            <w:pPr>
              <w:jc w:val="center"/>
              <w:rPr>
                <w:rFonts w:ascii="宋体" w:hAnsi="宋体" w:cs="宋体" w:hint="eastAsia"/>
                <w:color w:val="000000"/>
                <w:sz w:val="20"/>
                <w:szCs w:val="20"/>
              </w:rPr>
            </w:pPr>
          </w:p>
        </w:tc>
      </w:tr>
      <w:tr w:rsidR="00843335">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843335">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0.00</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7.90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7.90</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843335">
            <w:pPr>
              <w:widowControl/>
              <w:jc w:val="center"/>
              <w:textAlignment w:val="center"/>
              <w:rPr>
                <w:rFonts w:ascii="宋体" w:hAnsi="宋体" w:cs="宋体" w:hint="eastAsia"/>
                <w:color w:val="000000"/>
                <w:kern w:val="0"/>
                <w:sz w:val="20"/>
                <w:szCs w:val="20"/>
                <w:lang w:bidi="ar"/>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843335">
            <w:pPr>
              <w:jc w:val="center"/>
              <w:rPr>
                <w:rFonts w:ascii="宋体" w:hAnsi="宋体" w:cs="宋体" w:hint="eastAsia"/>
                <w:color w:val="000000"/>
                <w:sz w:val="20"/>
                <w:szCs w:val="20"/>
              </w:rPr>
            </w:pP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843335">
            <w:pPr>
              <w:jc w:val="center"/>
              <w:rPr>
                <w:rFonts w:ascii="宋体" w:hAnsi="宋体" w:cs="宋体" w:hint="eastAsia"/>
                <w:color w:val="000000"/>
                <w:sz w:val="20"/>
                <w:szCs w:val="20"/>
              </w:rPr>
            </w:pPr>
          </w:p>
        </w:tc>
      </w:tr>
      <w:tr w:rsidR="00843335">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843335">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合计</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90.86</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134.36</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134.36</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843335">
        <w:trPr>
          <w:trHeight w:val="705"/>
          <w:jc w:val="center"/>
        </w:trPr>
        <w:tc>
          <w:tcPr>
            <w:tcW w:w="26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843335">
        <w:trPr>
          <w:trHeight w:val="200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843335">
            <w:pPr>
              <w:jc w:val="center"/>
              <w:rPr>
                <w:rFonts w:ascii="宋体" w:hAnsi="宋体" w:cs="宋体" w:hint="eastAsia"/>
                <w:color w:val="000000"/>
                <w:sz w:val="20"/>
                <w:szCs w:val="20"/>
              </w:rPr>
            </w:pPr>
          </w:p>
        </w:tc>
        <w:tc>
          <w:tcPr>
            <w:tcW w:w="55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目标1：保障木垒哈萨克自治县第三幼儿园教育教学工资圆满完成。       </w:t>
            </w:r>
            <w:r>
              <w:rPr>
                <w:rFonts w:ascii="宋体" w:hAnsi="宋体" w:cs="宋体" w:hint="eastAsia"/>
                <w:color w:val="000000"/>
                <w:kern w:val="0"/>
                <w:sz w:val="20"/>
                <w:szCs w:val="20"/>
                <w:lang w:bidi="ar"/>
              </w:rPr>
              <w:br/>
              <w:t xml:space="preserve">目标2：抓提高，求发展，初步形成科学规范的管理体系，加强班主任工作，提高教育教学管理水平。          </w:t>
            </w:r>
            <w:r>
              <w:rPr>
                <w:rFonts w:ascii="宋体" w:hAnsi="宋体" w:cs="宋体" w:hint="eastAsia"/>
                <w:color w:val="000000"/>
                <w:kern w:val="0"/>
                <w:sz w:val="20"/>
                <w:szCs w:val="20"/>
                <w:lang w:bidi="ar"/>
              </w:rPr>
              <w:br/>
              <w:t xml:space="preserve">目标3：积极开展班队活动、校园艺术节，特色体育和艺术教育等活动，努力构建多彩的校园文化。            </w:t>
            </w:r>
            <w:r>
              <w:rPr>
                <w:rFonts w:ascii="宋体" w:hAnsi="宋体" w:cs="宋体" w:hint="eastAsia"/>
                <w:color w:val="000000"/>
                <w:kern w:val="0"/>
                <w:sz w:val="20"/>
                <w:szCs w:val="20"/>
                <w:lang w:bidi="ar"/>
              </w:rPr>
              <w:br/>
              <w:t>目标4：保障学前教育各项工作的正常开展，改善办学条件，维护学校正常运转。为各族少年儿童学习在学校、生活在学校、成长在学校创设良好条件。</w:t>
            </w:r>
          </w:p>
        </w:tc>
        <w:tc>
          <w:tcPr>
            <w:tcW w:w="594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第三幼儿园单位整体绩效目标共设置一级指标5个，分别为运行成本、管理效率、履职效能、社会效益、服务对象满意度；二级指标3个，其中数量指标1个，质量指标1个，时效指标1个；三级指标10个；其中已完成三级指标10个，指标完成率为100%。</w:t>
            </w:r>
          </w:p>
        </w:tc>
      </w:tr>
      <w:tr w:rsidR="00843335">
        <w:trPr>
          <w:trHeight w:val="580"/>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预期指标值</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指标值设定依据</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实际完成指标值</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843335">
        <w:trPr>
          <w:trHeight w:val="740"/>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运行成本</w:t>
            </w:r>
          </w:p>
        </w:tc>
        <w:tc>
          <w:tcPr>
            <w:tcW w:w="20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保障学校办公人员数量</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&gt;=22人</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木垒哈萨克自治县第三幼儿园机构改革方案</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22人</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w:t>
            </w:r>
          </w:p>
        </w:tc>
      </w:tr>
      <w:tr w:rsidR="00843335">
        <w:trPr>
          <w:trHeight w:val="740"/>
          <w:jc w:val="center"/>
        </w:trPr>
        <w:tc>
          <w:tcPr>
            <w:tcW w:w="26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管理效率</w:t>
            </w: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843335">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学生补助人数</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&gt;=136人</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木垒哈萨克自治县第三幼儿园2023年工作计划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136人</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w:t>
            </w:r>
          </w:p>
        </w:tc>
      </w:tr>
      <w:tr w:rsidR="00843335">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843335">
            <w:pPr>
              <w:jc w:val="center"/>
              <w:rPr>
                <w:rFonts w:ascii="宋体" w:hAnsi="宋体" w:cs="宋体" w:hint="eastAsia"/>
                <w:color w:val="000000"/>
                <w:sz w:val="20"/>
                <w:szCs w:val="20"/>
              </w:rPr>
            </w:pPr>
          </w:p>
        </w:tc>
        <w:tc>
          <w:tcPr>
            <w:tcW w:w="20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资金发放率</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木垒哈萨克自治县第三幼儿园2023年工作计划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843335">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843335">
            <w:pPr>
              <w:jc w:val="center"/>
              <w:rPr>
                <w:rFonts w:ascii="宋体" w:hAnsi="宋体" w:cs="宋体" w:hint="eastAsia"/>
                <w:color w:val="000000"/>
                <w:sz w:val="20"/>
                <w:szCs w:val="20"/>
              </w:rPr>
            </w:pP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843335">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学生活动参与率</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木垒哈萨克自治县第三幼儿园2023年工作计划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843335">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843335">
            <w:pPr>
              <w:jc w:val="center"/>
              <w:rPr>
                <w:rFonts w:ascii="宋体" w:hAnsi="宋体" w:cs="宋体" w:hint="eastAsia"/>
                <w:color w:val="000000"/>
                <w:sz w:val="20"/>
                <w:szCs w:val="20"/>
              </w:rPr>
            </w:pP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843335">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学生升学（毕业）率</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木垒哈萨克自治县第三幼儿园2023年工作计划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w:t>
            </w:r>
          </w:p>
        </w:tc>
      </w:tr>
      <w:tr w:rsidR="00843335">
        <w:trPr>
          <w:trHeight w:val="740"/>
          <w:jc w:val="center"/>
        </w:trPr>
        <w:tc>
          <w:tcPr>
            <w:tcW w:w="26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履职效能</w:t>
            </w: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教师培训完成率</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木垒哈萨克自治县第三幼儿园2023年工作计划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843335">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843335">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公用经费覆盖率</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木垒哈萨克自治县第三幼儿园2023年工作计划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843335">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843335">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班主任培训人次</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&gt;=5人次</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木垒哈萨克自治县第三幼儿园2023年工作计划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5人次</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843335">
        <w:trPr>
          <w:trHeight w:val="740"/>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w:t>
            </w:r>
          </w:p>
        </w:tc>
        <w:tc>
          <w:tcPr>
            <w:tcW w:w="20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学前免费教育政策知晓率</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&gt;=98%</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木垒哈萨克自治县第三幼儿园2023年工作计划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98%</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843335">
        <w:trPr>
          <w:trHeight w:val="740"/>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可持续发展能力</w:t>
            </w: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843335">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843335">
            <w:pPr>
              <w:jc w:val="center"/>
              <w:rPr>
                <w:rFonts w:ascii="宋体" w:hAnsi="宋体" w:cs="宋体" w:hint="eastAsia"/>
                <w:color w:val="000000"/>
                <w:sz w:val="20"/>
                <w:szCs w:val="20"/>
              </w:rPr>
            </w:pP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843335">
            <w:pPr>
              <w:jc w:val="center"/>
              <w:rPr>
                <w:rFonts w:ascii="宋体" w:hAnsi="宋体" w:cs="宋体" w:hint="eastAsia"/>
                <w:color w:val="000000"/>
                <w:sz w:val="20"/>
                <w:szCs w:val="20"/>
              </w:rPr>
            </w:pP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843335">
            <w:pPr>
              <w:jc w:val="center"/>
              <w:rPr>
                <w:rFonts w:ascii="宋体" w:hAnsi="宋体" w:cs="宋体" w:hint="eastAsia"/>
                <w:color w:val="000000"/>
                <w:sz w:val="20"/>
                <w:szCs w:val="20"/>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843335">
            <w:pPr>
              <w:jc w:val="center"/>
              <w:rPr>
                <w:rFonts w:ascii="宋体" w:hAnsi="宋体" w:cs="宋体" w:hint="eastAsia"/>
                <w:color w:val="000000"/>
                <w:sz w:val="20"/>
                <w:szCs w:val="20"/>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843335">
            <w:pPr>
              <w:jc w:val="center"/>
              <w:rPr>
                <w:rFonts w:ascii="宋体" w:hAnsi="宋体" w:cs="宋体" w:hint="eastAsia"/>
                <w:color w:val="000000"/>
                <w:sz w:val="20"/>
                <w:szCs w:val="20"/>
              </w:rPr>
            </w:pP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843335">
            <w:pPr>
              <w:jc w:val="center"/>
              <w:rPr>
                <w:rFonts w:ascii="宋体" w:hAnsi="宋体" w:cs="宋体" w:hint="eastAsia"/>
                <w:color w:val="000000"/>
                <w:sz w:val="20"/>
                <w:szCs w:val="20"/>
              </w:rPr>
            </w:pPr>
          </w:p>
        </w:tc>
      </w:tr>
      <w:tr w:rsidR="00843335">
        <w:trPr>
          <w:trHeight w:val="740"/>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服务对象满意度</w:t>
            </w: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843335">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学生家长满意度</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木垒哈萨克自治县第三幼儿园2023年工作计划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335"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w:t>
            </w:r>
          </w:p>
        </w:tc>
      </w:tr>
    </w:tbl>
    <w:p w:rsidR="00843335" w:rsidRDefault="00843335">
      <w:pPr>
        <w:ind w:firstLineChars="200" w:firstLine="640"/>
        <w:jc w:val="left"/>
        <w:rPr>
          <w:rFonts w:ascii="黑体" w:eastAsia="黑体" w:hAnsi="黑体" w:cs="宋体" w:hint="eastAsia"/>
          <w:bCs/>
          <w:kern w:val="0"/>
          <w:sz w:val="32"/>
          <w:szCs w:val="32"/>
        </w:rPr>
      </w:pPr>
    </w:p>
    <w:p w:rsidR="00843335"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rsidR="00843335"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p>
    <w:p w:rsidR="00843335" w:rsidRDefault="00000000">
      <w:pPr>
        <w:jc w:val="center"/>
        <w:outlineLvl w:val="0"/>
        <w:rPr>
          <w:rFonts w:ascii="黑体" w:eastAsia="黑体" w:hAnsi="黑体" w:hint="eastAsia"/>
          <w:sz w:val="32"/>
          <w:szCs w:val="32"/>
        </w:rPr>
      </w:pPr>
      <w:bookmarkStart w:id="30" w:name="_Toc24143"/>
      <w:bookmarkStart w:id="31" w:name="_Toc3250"/>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rsidR="0084333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rsidR="0084333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rsidR="0084333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rsidR="0084333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rsidR="0084333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rsidR="0084333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rsidR="0084333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rsidR="0084333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rsidR="0084333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rsidR="00843335"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rsidR="00843335"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rsidR="00843335"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rsidR="00843335"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rsidR="00843335"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rsidR="00843335"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rsidR="00843335"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rsidR="00843335"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rsidR="00843335"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rsidR="00843335"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rsidR="00843335"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rsidR="00843335" w:rsidRDefault="00000000">
      <w:pPr>
        <w:ind w:firstLineChars="200" w:firstLine="640"/>
        <w:outlineLvl w:val="1"/>
        <w:rPr>
          <w:rFonts w:ascii="黑体" w:eastAsia="仿宋_GB2312" w:hAnsi="黑体" w:cs="宋体" w:hint="eastAsia"/>
          <w:bCs/>
          <w:kern w:val="0"/>
          <w:sz w:val="32"/>
          <w:szCs w:val="32"/>
        </w:rPr>
      </w:pPr>
      <w:bookmarkStart w:id="42" w:name="_Toc8884"/>
      <w:bookmarkStart w:id="43" w:name="_Toc5626"/>
      <w:r>
        <w:rPr>
          <w:rFonts w:ascii="黑体" w:eastAsia="仿宋_GB2312" w:hAnsi="黑体" w:cs="宋体" w:hint="eastAsia"/>
          <w:bCs/>
          <w:kern w:val="0"/>
          <w:sz w:val="32"/>
          <w:szCs w:val="32"/>
        </w:rPr>
        <w:t>六、《一般公共预算财政拨款基本支出决算表》</w:t>
      </w:r>
      <w:bookmarkEnd w:id="42"/>
      <w:bookmarkEnd w:id="43"/>
    </w:p>
    <w:p w:rsidR="00843335"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rsidR="00843335"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rsidR="00843335"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rsidR="00843335" w:rsidRDefault="00843335">
      <w:pPr>
        <w:ind w:firstLineChars="200" w:firstLine="640"/>
        <w:rPr>
          <w:rFonts w:ascii="仿宋_GB2312" w:eastAsia="仿宋_GB2312"/>
          <w:sz w:val="32"/>
          <w:szCs w:val="32"/>
        </w:rPr>
      </w:pPr>
    </w:p>
    <w:p w:rsidR="00843335" w:rsidRDefault="00843335">
      <w:pPr>
        <w:ind w:firstLineChars="200" w:firstLine="640"/>
        <w:outlineLvl w:val="1"/>
        <w:rPr>
          <w:rFonts w:ascii="黑体" w:eastAsia="黑体" w:hAnsi="黑体" w:cs="宋体" w:hint="eastAsia"/>
          <w:bCs/>
          <w:kern w:val="0"/>
          <w:sz w:val="32"/>
          <w:szCs w:val="32"/>
        </w:rPr>
      </w:pPr>
    </w:p>
    <w:sectPr w:rsidR="00843335">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FB68F4" w:rsidRDefault="00FB68F4">
      <w:r>
        <w:separator/>
      </w:r>
    </w:p>
  </w:endnote>
  <w:endnote w:type="continuationSeparator" w:id="0">
    <w:p w:rsidR="00FB68F4" w:rsidRDefault="00FB6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43335" w:rsidRDefault="00000000">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843335"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rsidR="00843335"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FB68F4" w:rsidRDefault="00FB68F4">
      <w:r>
        <w:separator/>
      </w:r>
    </w:p>
  </w:footnote>
  <w:footnote w:type="continuationSeparator" w:id="0">
    <w:p w:rsidR="00FB68F4" w:rsidRDefault="00FB68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2004347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WM5M2I0NWRhNDM2MWVkM2Q3YzY0OGU0YTRiMGUzYTAifQ=="/>
    <w:docVar w:name="KSO_WPS_MARK_KEY" w:val="41ee2a61-2d54-4f93-83be-afdb9a40d732"/>
  </w:docVars>
  <w:rsids>
    <w:rsidRoot w:val="00843335"/>
    <w:rsid w:val="00213C59"/>
    <w:rsid w:val="003210CE"/>
    <w:rsid w:val="00843335"/>
    <w:rsid w:val="00B70D59"/>
    <w:rsid w:val="00C818FB"/>
    <w:rsid w:val="00F3105B"/>
    <w:rsid w:val="00F52A8D"/>
    <w:rsid w:val="00FB68F4"/>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08E47A0"/>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194BBB"/>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0B3B70"/>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B15523"/>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AA171B4"/>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AA2095"/>
  <w15:docId w15:val="{A51BB39F-4685-4821-B957-042663DEA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1132</Words>
  <Characters>6454</Characters>
  <Application>Microsoft Office Word</Application>
  <DocSecurity>0</DocSecurity>
  <Lines>53</Lines>
  <Paragraphs>15</Paragraphs>
  <ScaleCrop>false</ScaleCrop>
  <Company/>
  <LinksUpToDate>false</LinksUpToDate>
  <CharactersWithSpaces>7571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3</cp:revision>
  <dcterms:created xsi:type="dcterms:W3CDTF">2014-10-29T12:08:00Z</dcterms:created>
  <dcterms:modified xsi:type="dcterms:W3CDTF">2024-08-19T06:56:00Z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D624B15633CD43C8BF9435464A96BF70</vt:lpwstr>
  </property>
</Properties>
</file>